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15C1" w14:textId="5015E1C8" w:rsidR="00AE08BD" w:rsidRPr="001029FB" w:rsidRDefault="00AE08BD" w:rsidP="001029FB">
      <w:pPr>
        <w:spacing w:after="120"/>
        <w:jc w:val="center"/>
        <w:textAlignment w:val="baseline"/>
        <w:outlineLvl w:val="0"/>
        <w:rPr>
          <w:rFonts w:ascii="Arial" w:eastAsia="Times New Roman" w:hAnsi="Arial" w:cs="Arial"/>
          <w:b/>
          <w:color w:val="000000" w:themeColor="text1"/>
          <w:kern w:val="36"/>
          <w:sz w:val="32"/>
          <w:szCs w:val="32"/>
          <w:lang w:eastAsia="en-GB"/>
        </w:rPr>
      </w:pPr>
      <w:r w:rsidRPr="001029FB">
        <w:rPr>
          <w:rFonts w:ascii="Arial" w:eastAsia="Times New Roman" w:hAnsi="Arial" w:cs="Arial"/>
          <w:b/>
          <w:color w:val="000000" w:themeColor="text1"/>
          <w:kern w:val="36"/>
          <w:sz w:val="32"/>
          <w:szCs w:val="32"/>
          <w:lang w:eastAsia="en-GB"/>
        </w:rPr>
        <w:t>Publications</w:t>
      </w:r>
      <w:r w:rsidR="003106C6">
        <w:rPr>
          <w:rFonts w:ascii="Arial" w:eastAsia="Times New Roman" w:hAnsi="Arial" w:cs="Arial"/>
          <w:b/>
          <w:color w:val="000000" w:themeColor="text1"/>
          <w:kern w:val="36"/>
          <w:sz w:val="32"/>
          <w:szCs w:val="32"/>
          <w:lang w:eastAsia="en-GB"/>
        </w:rPr>
        <w:t xml:space="preserve"> by the Department of Gastroenterology and Liver, Liverpool Hospital</w:t>
      </w:r>
    </w:p>
    <w:p w14:paraId="1BA3929D" w14:textId="77777777" w:rsidR="00AE08BD" w:rsidRPr="00CE413A" w:rsidRDefault="00AE08BD" w:rsidP="00CE413A">
      <w:pPr>
        <w:tabs>
          <w:tab w:val="left" w:pos="7331"/>
        </w:tabs>
        <w:jc w:val="both"/>
        <w:rPr>
          <w:rFonts w:eastAsia="Times New Roman" w:cstheme="minorHAnsi"/>
          <w:color w:val="000000" w:themeColor="text1"/>
          <w:sz w:val="20"/>
          <w:szCs w:val="20"/>
          <w:lang w:eastAsia="en-GB"/>
        </w:rPr>
      </w:pPr>
      <w:bookmarkStart w:id="0" w:name="_GoBack"/>
      <w:bookmarkEnd w:id="0"/>
    </w:p>
    <w:p w14:paraId="6D3C585D" w14:textId="77777777" w:rsidR="00AE08BD" w:rsidRPr="001029FB" w:rsidRDefault="00AE08BD" w:rsidP="00CE2F1D">
      <w:pPr>
        <w:jc w:val="center"/>
        <w:rPr>
          <w:rFonts w:eastAsia="Times New Roman" w:cstheme="minorHAnsi"/>
          <w:b/>
          <w:color w:val="000000" w:themeColor="text1"/>
          <w:sz w:val="22"/>
          <w:szCs w:val="22"/>
          <w:lang w:eastAsia="en-GB"/>
        </w:rPr>
      </w:pPr>
      <w:r w:rsidRPr="001029FB">
        <w:rPr>
          <w:rFonts w:eastAsia="Times New Roman" w:cstheme="minorHAnsi"/>
          <w:b/>
          <w:color w:val="000000" w:themeColor="text1"/>
          <w:sz w:val="22"/>
          <w:szCs w:val="22"/>
          <w:lang w:eastAsia="en-GB"/>
        </w:rPr>
        <w:t>2014</w:t>
      </w:r>
    </w:p>
    <w:p w14:paraId="3F16E4FE" w14:textId="77777777" w:rsidR="00AE08BD" w:rsidRPr="001029FB" w:rsidRDefault="00AE08BD" w:rsidP="00AE08BD">
      <w:pPr>
        <w:pStyle w:val="ListParagraph"/>
        <w:jc w:val="both"/>
        <w:rPr>
          <w:rFonts w:cstheme="minorHAnsi"/>
          <w:color w:val="000000" w:themeColor="text1"/>
          <w:sz w:val="22"/>
          <w:szCs w:val="22"/>
          <w:lang w:eastAsia="en-GB"/>
        </w:rPr>
      </w:pPr>
    </w:p>
    <w:p w14:paraId="6C5BABD4"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Analysis of the intrahepatic ductular reaction and progenitor cell responses in hepatitis C virus recurrence after liver transplantation.</w:t>
      </w:r>
    </w:p>
    <w:p w14:paraId="13DBCFC4"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b/>
          <w:color w:val="000000" w:themeColor="text1"/>
          <w:sz w:val="20"/>
          <w:szCs w:val="20"/>
          <w:lang w:eastAsia="en-GB"/>
        </w:rPr>
        <w:t>Prakoso E</w:t>
      </w:r>
      <w:r w:rsidRPr="001029FB">
        <w:rPr>
          <w:rFonts w:cstheme="minorHAnsi"/>
          <w:color w:val="000000" w:themeColor="text1"/>
          <w:sz w:val="20"/>
          <w:szCs w:val="20"/>
          <w:lang w:eastAsia="en-GB"/>
        </w:rPr>
        <w:t xml:space="preserve">, Tirnitz-Parker JE, Clouston AD, Kayali Z, Lee A, Gan EK, Ramm GA, Kench JG, Bowen DG, Olynyk JK, McCaughan GW,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72BE4D78"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Liver Transpl. 2014 Dec;20(12):1508-19. doi: 10.1002/lt.24007.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25241637</w:t>
      </w:r>
    </w:p>
    <w:p w14:paraId="09AEE870"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 consensus statement on the renal monitoring of Australian patients receiving tenofovir based antiviral therapy for HIV/HBV infection.</w:t>
      </w:r>
    </w:p>
    <w:p w14:paraId="1617BD46"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Holt SG, Gracey DM, </w:t>
      </w:r>
      <w:r w:rsidRPr="001029FB">
        <w:rPr>
          <w:rFonts w:cstheme="minorHAnsi"/>
          <w:b/>
          <w:color w:val="000000" w:themeColor="text1"/>
          <w:sz w:val="20"/>
          <w:szCs w:val="20"/>
          <w:lang w:eastAsia="en-GB"/>
        </w:rPr>
        <w:t>Levy MT</w:t>
      </w:r>
      <w:r w:rsidRPr="001029FB">
        <w:rPr>
          <w:rFonts w:cstheme="minorHAnsi"/>
          <w:color w:val="000000" w:themeColor="text1"/>
          <w:sz w:val="20"/>
          <w:szCs w:val="20"/>
          <w:lang w:eastAsia="en-GB"/>
        </w:rPr>
        <w:t>, Mudge DW, Irish AB, Walker RG, Baer R, Sevastos J, Abbas R, Boyd MA.</w:t>
      </w:r>
    </w:p>
    <w:p w14:paraId="27C4DCD4"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AIDS Res Ther. 2014 Nov 10;11:35. doi: 10.1186/1742-6405-11-35. eCollection 2014. Review. </w:t>
      </w:r>
      <w:r w:rsidRPr="001029FB">
        <w:rPr>
          <w:rFonts w:eastAsia="Times New Roman" w:cstheme="minorHAnsi"/>
          <w:color w:val="000000" w:themeColor="text1"/>
          <w:sz w:val="20"/>
          <w:szCs w:val="20"/>
          <w:lang w:eastAsia="en-GB"/>
        </w:rPr>
        <w:t>PMID: 25745499</w:t>
      </w:r>
    </w:p>
    <w:p w14:paraId="465885E9"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HLA-DQA1-HLA-DRB1 variants confer susceptibility to pancreatitis induced by thiopurine immunosuppressants.</w:t>
      </w:r>
    </w:p>
    <w:p w14:paraId="4D160DC4"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Heap GA, Weedon MN, Bewshea CM, Singh A, Chen M, Satchwell JB, Vivian JP, So K, Dubois PC, Andrews JM, Annese V, Bampton P, Barnardo M, Bell S, Cole A, </w:t>
      </w:r>
      <w:r w:rsidRPr="001029FB">
        <w:rPr>
          <w:rFonts w:cstheme="minorHAnsi"/>
          <w:b/>
          <w:color w:val="000000" w:themeColor="text1"/>
          <w:sz w:val="20"/>
          <w:szCs w:val="20"/>
          <w:lang w:eastAsia="en-GB"/>
        </w:rPr>
        <w:t>Connor SJ</w:t>
      </w:r>
      <w:r w:rsidRPr="001029FB">
        <w:rPr>
          <w:rFonts w:cstheme="minorHAnsi"/>
          <w:color w:val="000000" w:themeColor="text1"/>
          <w:sz w:val="20"/>
          <w:szCs w:val="20"/>
          <w:lang w:eastAsia="en-GB"/>
        </w:rPr>
        <w:t>, Creed T, Cummings FR, D'Amato M, Daneshmend TK, Fedorak RN, Florin TH, Gaya DR, Greig E, Halfvarson J, Hart A, Irving PM, Jones G, Karban A, Lawrance IC, Lee JC, Lees C, Lev-Tzion R, Lindsay JO, Mansfield J, Mawdsley J, Mazhar Z, Parkes M, Parnell K, Orchard TR, Radford-Smith G, Russell RK, Reffitt D, Satsangi J, Silverberg MS, Sturniolo GC, Tremelling M, Tsianos EV, van Heel DA, Walsh A, Watermeyer G, Weersma RK, Zeissig S, Rossjohn J, Holden AL; International Serious Adverse Events Consortium; IBD Pharmacogenetics Study Group, Ahmad T.</w:t>
      </w:r>
    </w:p>
    <w:p w14:paraId="621AF50A"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Nat Genet. 2014 Oct;46(10):1131-4. doi: 10.1038/ng.3093.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25217962</w:t>
      </w:r>
    </w:p>
    <w:p w14:paraId="3F375C7F"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Efficacy and safety of tenofovir disoproxil fumarate in pregnancy to prevent perinatal transmission of hepatitis B virus.</w:t>
      </w:r>
    </w:p>
    <w:p w14:paraId="49E4422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Greenup AJ, Tan PK, Nguyen V, Glass A, Davison S, Chatterjee U, Holdaway S, Samarasinghe D, Jackson K, Locarnini SA, </w:t>
      </w:r>
      <w:r w:rsidRPr="001029FB">
        <w:rPr>
          <w:rFonts w:cstheme="minorHAnsi"/>
          <w:b/>
          <w:color w:val="000000" w:themeColor="text1"/>
          <w:sz w:val="20"/>
          <w:szCs w:val="20"/>
          <w:lang w:eastAsia="en-GB"/>
        </w:rPr>
        <w:t>Levy MT</w:t>
      </w:r>
      <w:r w:rsidRPr="001029FB">
        <w:rPr>
          <w:rFonts w:cstheme="minorHAnsi"/>
          <w:color w:val="000000" w:themeColor="text1"/>
          <w:sz w:val="20"/>
          <w:szCs w:val="20"/>
          <w:lang w:eastAsia="en-GB"/>
        </w:rPr>
        <w:t>.</w:t>
      </w:r>
    </w:p>
    <w:p w14:paraId="54CA15ED"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J Hepatol. 2014 Sep;61(3):502-7. doi: 10.1016/j.jhep.2014.04.038. Erratum in: J Hepatol. 2015 Oct;63(4):1054. </w:t>
      </w:r>
      <w:r w:rsidRPr="001029FB">
        <w:rPr>
          <w:rFonts w:eastAsia="Times New Roman" w:cstheme="minorHAnsi"/>
          <w:color w:val="000000" w:themeColor="text1"/>
          <w:sz w:val="20"/>
          <w:szCs w:val="20"/>
          <w:lang w:eastAsia="en-GB"/>
        </w:rPr>
        <w:t>PMID: 24801414</w:t>
      </w:r>
    </w:p>
    <w:p w14:paraId="67B7FD70"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Strain dependence of diet-induced NASH and liver fibrosis in obese mice is linked to diabetes and inflammatory phenotype.</w:t>
      </w:r>
    </w:p>
    <w:p w14:paraId="18829173"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Farrell GC, Mridha AR, Yeh MM, Arsov T, Van Rooyen DM, Brooling J, Nguyen T, Heydet D, Delghingaro-Augusto V, Nolan CJ,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McLennan SV, Teoh NC, Larter CZ.</w:t>
      </w:r>
    </w:p>
    <w:p w14:paraId="6412A17F" w14:textId="77777777" w:rsidR="00AE08BD" w:rsidRPr="001029FB" w:rsidRDefault="00AE08BD" w:rsidP="00AE08BD">
      <w:p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Liver Int. 2014 Aug;34(7):1084-93. doi: 10.1111/liv.12335. </w:t>
      </w:r>
      <w:r w:rsidRPr="001029FB">
        <w:rPr>
          <w:rFonts w:eastAsia="Times New Roman" w:cstheme="minorHAnsi"/>
          <w:color w:val="000000" w:themeColor="text1"/>
          <w:sz w:val="20"/>
          <w:szCs w:val="20"/>
          <w:lang w:eastAsia="en-GB"/>
        </w:rPr>
        <w:t>PMID: 24107103</w:t>
      </w:r>
    </w:p>
    <w:p w14:paraId="39CA723C"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Advances in and the future of treatments for hepatitis C.</w:t>
      </w:r>
    </w:p>
    <w:p w14:paraId="268D2D42"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Cheng R, Tu T, </w:t>
      </w:r>
      <w:r w:rsidRPr="001029FB">
        <w:rPr>
          <w:rFonts w:cstheme="minorHAnsi"/>
          <w:b/>
          <w:color w:val="000000" w:themeColor="text1"/>
          <w:sz w:val="20"/>
          <w:szCs w:val="20"/>
          <w:lang w:eastAsia="en-GB"/>
        </w:rPr>
        <w:t>Shackel N</w:t>
      </w:r>
      <w:r w:rsidRPr="001029FB">
        <w:rPr>
          <w:rFonts w:cstheme="minorHAnsi"/>
          <w:color w:val="000000" w:themeColor="text1"/>
          <w:sz w:val="20"/>
          <w:szCs w:val="20"/>
          <w:lang w:eastAsia="en-GB"/>
        </w:rPr>
        <w:t>, McCaughan GW.</w:t>
      </w:r>
    </w:p>
    <w:p w14:paraId="110DFF11"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Expert Rev Gastroenterol Hepatol. 2014 Aug;8(6):633-47. doi: 10.1586/17474124.2014.909725. Review. </w:t>
      </w:r>
      <w:r w:rsidRPr="001029FB">
        <w:rPr>
          <w:rFonts w:eastAsia="Times New Roman" w:cstheme="minorHAnsi"/>
          <w:color w:val="000000" w:themeColor="text1"/>
          <w:sz w:val="20"/>
          <w:szCs w:val="20"/>
          <w:lang w:eastAsia="en-GB"/>
        </w:rPr>
        <w:t>PMID: 24846594</w:t>
      </w:r>
    </w:p>
    <w:p w14:paraId="60FEEA98"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Acute renal failure and metformin-associated lactic acidosis following colonoscopy.</w:t>
      </w:r>
    </w:p>
    <w:p w14:paraId="2E7AA4A2" w14:textId="77777777" w:rsidR="00AE08BD" w:rsidRPr="001029FB" w:rsidRDefault="00AE08BD" w:rsidP="00AE08BD">
      <w:p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Hussain MI, Hall BM, Depczynski B, </w:t>
      </w:r>
      <w:r w:rsidRPr="001029FB">
        <w:rPr>
          <w:rFonts w:cstheme="minorHAnsi"/>
          <w:b/>
          <w:color w:val="000000" w:themeColor="text1"/>
          <w:sz w:val="20"/>
          <w:szCs w:val="20"/>
          <w:lang w:eastAsia="en-GB"/>
        </w:rPr>
        <w:t>Connor SJ</w:t>
      </w:r>
      <w:r w:rsidRPr="001029FB">
        <w:rPr>
          <w:rFonts w:cstheme="minorHAnsi"/>
          <w:color w:val="000000" w:themeColor="text1"/>
          <w:sz w:val="20"/>
          <w:szCs w:val="20"/>
          <w:lang w:eastAsia="en-GB"/>
        </w:rPr>
        <w:t>.</w:t>
      </w:r>
    </w:p>
    <w:p w14:paraId="320AA568"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Diabetes Res Clin Pract. 2014 Jul;105(1):e6-8. doi: 10.1016/j.diabres.2013.12.055.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24877743</w:t>
      </w:r>
    </w:p>
    <w:p w14:paraId="5D78565B"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Birthplace is not a determinant of colorectal adenomas.</w:t>
      </w:r>
    </w:p>
    <w:p w14:paraId="6C95B726"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Tran F, </w:t>
      </w:r>
      <w:r w:rsidRPr="001029FB">
        <w:rPr>
          <w:rFonts w:cstheme="minorHAnsi"/>
          <w:b/>
          <w:color w:val="000000" w:themeColor="text1"/>
          <w:sz w:val="20"/>
          <w:szCs w:val="20"/>
          <w:lang w:eastAsia="en-GB"/>
        </w:rPr>
        <w:t>Koo JH</w:t>
      </w:r>
      <w:r w:rsidRPr="001029FB">
        <w:rPr>
          <w:rFonts w:cstheme="minorHAnsi"/>
          <w:color w:val="000000" w:themeColor="text1"/>
          <w:sz w:val="20"/>
          <w:szCs w:val="20"/>
          <w:lang w:eastAsia="en-GB"/>
        </w:rPr>
        <w:t>.</w:t>
      </w:r>
    </w:p>
    <w:p w14:paraId="46A021B1"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World J Gastroenterol. 2014 Jul 14;20(26):8606-11. doi: 10.3748/wjg.v20.i26.8606.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25024615</w:t>
      </w:r>
    </w:p>
    <w:p w14:paraId="08396AEE"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Hepatocyte produced matrix metalloproteinases are regulated by CD147 in liver fibrogenesis.</w:t>
      </w:r>
    </w:p>
    <w:p w14:paraId="1DC7E7F5" w14:textId="77777777" w:rsidR="00AE08BD" w:rsidRPr="001029FB" w:rsidRDefault="00AE08BD" w:rsidP="00AE08BD">
      <w:p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Calabro SR, Maczurek AE, Morgan AJ, Tu T, Wen VW, Yee C, Mridha A, Lee M, d'Avigdor W, Locarnini SA, McCaughan GW, Warner FJ, McLennan SV,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191A5E06" w14:textId="77777777" w:rsidR="00AE08BD" w:rsidRPr="001029FB" w:rsidRDefault="00AE08BD" w:rsidP="00AE08BD">
      <w:pPr>
        <w:pStyle w:val="ListParagraph"/>
        <w:ind w:left="360"/>
        <w:jc w:val="both"/>
        <w:rPr>
          <w:rFonts w:eastAsia="Times New Roman" w:cstheme="minorHAnsi"/>
          <w:color w:val="000000" w:themeColor="text1"/>
          <w:sz w:val="20"/>
          <w:szCs w:val="20"/>
          <w:lang w:eastAsia="en-GB"/>
        </w:rPr>
      </w:pPr>
      <w:r w:rsidRPr="001029FB">
        <w:rPr>
          <w:rFonts w:cstheme="minorHAnsi"/>
          <w:color w:val="000000" w:themeColor="text1"/>
          <w:sz w:val="20"/>
          <w:szCs w:val="20"/>
          <w:lang w:eastAsia="en-GB"/>
        </w:rPr>
        <w:t xml:space="preserve">PLoS One. 2014 Jul 30;9(7):e90571. doi: 10.1371/journal.pone.0090571. eCollection 2014. </w:t>
      </w:r>
      <w:r w:rsidRPr="001029FB">
        <w:rPr>
          <w:rFonts w:eastAsia="Times New Roman" w:cstheme="minorHAnsi"/>
          <w:color w:val="000000" w:themeColor="text1"/>
          <w:sz w:val="20"/>
          <w:szCs w:val="20"/>
          <w:lang w:eastAsia="en-GB"/>
        </w:rPr>
        <w:t>PMID: 25076423</w:t>
      </w:r>
    </w:p>
    <w:p w14:paraId="2395D29D"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Beyond liver fibrosis: hepatic stellate cell senescence links obesity to liver cancer by way of the microbiome.</w:t>
      </w:r>
    </w:p>
    <w:p w14:paraId="45BDA0FC"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Vadas MA, Gamble JR, McCaughan GW.</w:t>
      </w:r>
    </w:p>
    <w:p w14:paraId="16D5B61F"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Hepatology. 2014 Jun;59(6):2413-5. doi: 10.1002/hep.26932. </w:t>
      </w:r>
      <w:r w:rsidRPr="001029FB">
        <w:rPr>
          <w:rFonts w:eastAsia="Times New Roman" w:cstheme="minorHAnsi"/>
          <w:color w:val="000000" w:themeColor="text1"/>
          <w:sz w:val="20"/>
          <w:szCs w:val="20"/>
          <w:lang w:eastAsia="en-GB"/>
        </w:rPr>
        <w:t>PMID: 24273014</w:t>
      </w:r>
    </w:p>
    <w:p w14:paraId="1FB87D2F"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Novel aspects of the liver microenvironment in hepatocellular carcinoma pathogenesis and development.</w:t>
      </w:r>
    </w:p>
    <w:p w14:paraId="03A73737"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lastRenderedPageBreak/>
        <w:t xml:space="preserve">Tu T, Budzinska MA, Maczurek AE, Cheng R, Di Bartolomeo A, Warner FJ, McCaughan GW, McLennan SV,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40FDE2DE"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Int J Mol Sci. 2014 May 27;15(6):9422-58. doi: 10.3390/ijms15069422. Review. </w:t>
      </w:r>
      <w:r w:rsidRPr="001029FB">
        <w:rPr>
          <w:rFonts w:eastAsia="Times New Roman" w:cstheme="minorHAnsi"/>
          <w:color w:val="000000" w:themeColor="text1"/>
          <w:sz w:val="20"/>
          <w:szCs w:val="20"/>
          <w:lang w:eastAsia="en-GB"/>
        </w:rPr>
        <w:t>PMID: 24871369</w:t>
      </w:r>
    </w:p>
    <w:p w14:paraId="66F526BA" w14:textId="77777777" w:rsidR="00AE08BD" w:rsidRPr="001029FB" w:rsidRDefault="00AE08BD" w:rsidP="00AE08BD">
      <w:pPr>
        <w:pStyle w:val="ListParagraph"/>
        <w:numPr>
          <w:ilvl w:val="0"/>
          <w:numId w:val="1"/>
        </w:numPr>
        <w:ind w:left="360"/>
        <w:jc w:val="both"/>
        <w:outlineLvl w:val="0"/>
        <w:rPr>
          <w:rFonts w:eastAsia="Times New Roman" w:cstheme="minorHAnsi"/>
          <w:bCs/>
          <w:color w:val="000000" w:themeColor="text1"/>
          <w:kern w:val="36"/>
          <w:sz w:val="20"/>
          <w:szCs w:val="20"/>
          <w:lang w:eastAsia="en-GB"/>
        </w:rPr>
      </w:pPr>
      <w:r w:rsidRPr="001029FB">
        <w:rPr>
          <w:rFonts w:eastAsia="Times New Roman" w:cstheme="minorHAnsi"/>
          <w:bCs/>
          <w:color w:val="000000" w:themeColor="text1"/>
          <w:kern w:val="36"/>
          <w:sz w:val="20"/>
          <w:szCs w:val="20"/>
          <w:lang w:eastAsia="en-GB"/>
        </w:rPr>
        <w:t>Anti-viral therapy for prevention of perinatal HBV transmission: extending therapy beyond birth does not protect against post-partum flare.</w:t>
      </w:r>
    </w:p>
    <w:p w14:paraId="65DBA3BB" w14:textId="77777777" w:rsidR="00AE08BD" w:rsidRPr="001029FB" w:rsidRDefault="00AE08BD" w:rsidP="00AE08BD">
      <w:pPr>
        <w:pStyle w:val="ListParagraph"/>
        <w:ind w:left="360"/>
        <w:jc w:val="both"/>
        <w:outlineLvl w:val="0"/>
        <w:rPr>
          <w:rFonts w:eastAsia="Times New Roman" w:cstheme="minorHAnsi"/>
          <w:color w:val="000000" w:themeColor="text1"/>
          <w:sz w:val="20"/>
          <w:szCs w:val="20"/>
          <w:lang w:eastAsia="en-GB"/>
        </w:rPr>
      </w:pPr>
      <w:r w:rsidRPr="001029FB">
        <w:rPr>
          <w:rFonts w:eastAsia="Times New Roman" w:cstheme="minorHAnsi"/>
          <w:color w:val="000000" w:themeColor="text1"/>
          <w:sz w:val="20"/>
          <w:szCs w:val="20"/>
          <w:lang w:eastAsia="en-GB"/>
        </w:rPr>
        <w:t>Nguyen V, Tan PK, Greenup AJ, Glass A, Davison S, Samarasinghe D, Holdaway S, Strasser SI, Chatterjee U, Jackson K, Locarnini SA, </w:t>
      </w:r>
      <w:r w:rsidRPr="001029FB">
        <w:rPr>
          <w:rFonts w:eastAsia="Times New Roman" w:cstheme="minorHAnsi"/>
          <w:b/>
          <w:color w:val="000000" w:themeColor="text1"/>
          <w:sz w:val="20"/>
          <w:szCs w:val="20"/>
          <w:lang w:eastAsia="en-GB"/>
        </w:rPr>
        <w:t>Levy MT</w:t>
      </w:r>
      <w:r w:rsidRPr="001029FB">
        <w:rPr>
          <w:rFonts w:eastAsia="Times New Roman" w:cstheme="minorHAnsi"/>
          <w:color w:val="000000" w:themeColor="text1"/>
          <w:sz w:val="20"/>
          <w:szCs w:val="20"/>
          <w:lang w:eastAsia="en-GB"/>
        </w:rPr>
        <w:t>.</w:t>
      </w:r>
    </w:p>
    <w:p w14:paraId="362527EF" w14:textId="77777777" w:rsidR="00AE08BD" w:rsidRPr="001029FB" w:rsidRDefault="0037751A" w:rsidP="00AE08BD">
      <w:pPr>
        <w:pStyle w:val="ListParagraph"/>
        <w:ind w:left="360"/>
        <w:jc w:val="both"/>
        <w:outlineLvl w:val="0"/>
        <w:rPr>
          <w:rFonts w:eastAsia="Times New Roman" w:cstheme="minorHAnsi"/>
          <w:color w:val="000000" w:themeColor="text1"/>
          <w:sz w:val="20"/>
          <w:szCs w:val="20"/>
          <w:lang w:eastAsia="en-GB"/>
        </w:rPr>
      </w:pPr>
      <w:hyperlink r:id="rId7" w:tooltip="Alimentary pharmacology &amp; therapeutics." w:history="1">
        <w:r w:rsidR="00AE08BD" w:rsidRPr="001029FB">
          <w:rPr>
            <w:rFonts w:eastAsia="Times New Roman" w:cstheme="minorHAnsi"/>
            <w:color w:val="000000" w:themeColor="text1"/>
            <w:sz w:val="20"/>
            <w:szCs w:val="20"/>
            <w:lang w:eastAsia="en-GB"/>
          </w:rPr>
          <w:t>Aliment Pharmacol Ther.</w:t>
        </w:r>
      </w:hyperlink>
      <w:r w:rsidR="00AE08BD" w:rsidRPr="001029FB">
        <w:rPr>
          <w:rFonts w:eastAsia="Times New Roman" w:cstheme="minorHAnsi"/>
          <w:color w:val="000000" w:themeColor="text1"/>
          <w:sz w:val="20"/>
          <w:szCs w:val="20"/>
          <w:shd w:val="clear" w:color="auto" w:fill="FFFFFF"/>
          <w:lang w:eastAsia="en-GB"/>
        </w:rPr>
        <w:t xml:space="preserve"> 2014 May;39(10):1225-34. doi: 10.1111/apt.12726. </w:t>
      </w:r>
    </w:p>
    <w:p w14:paraId="4A79BDFC"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Current status of fibrosis markers.</w:t>
      </w:r>
    </w:p>
    <w:p w14:paraId="3B7A554C"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Patel K,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w:t>
      </w:r>
    </w:p>
    <w:p w14:paraId="5F271BE6"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Curr Opin Gastroenterol. 2014 May;30(3):253-9. doi: 10.1097/MOG.0000000000000059. Review. </w:t>
      </w:r>
      <w:r w:rsidRPr="001029FB">
        <w:rPr>
          <w:rFonts w:eastAsia="Times New Roman" w:cstheme="minorHAnsi"/>
          <w:color w:val="000000" w:themeColor="text1"/>
          <w:sz w:val="20"/>
          <w:szCs w:val="20"/>
          <w:lang w:eastAsia="en-GB"/>
        </w:rPr>
        <w:t>PMID: 24671009</w:t>
      </w:r>
    </w:p>
    <w:p w14:paraId="7A6637D8"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Duodenal eosinophilia and early satiety in functional dyspepsia: confirmation of a positive association in an Australian cohort.</w:t>
      </w:r>
    </w:p>
    <w:p w14:paraId="3E794BE2"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Walker MM, Aggarwal KR, Shim LS, </w:t>
      </w:r>
      <w:r w:rsidRPr="001029FB">
        <w:rPr>
          <w:rFonts w:cstheme="minorHAnsi"/>
          <w:b/>
          <w:color w:val="000000" w:themeColor="text1"/>
          <w:sz w:val="20"/>
          <w:szCs w:val="20"/>
          <w:lang w:eastAsia="en-GB"/>
        </w:rPr>
        <w:t>Bassan M</w:t>
      </w:r>
      <w:r w:rsidRPr="001029FB">
        <w:rPr>
          <w:rFonts w:cstheme="minorHAnsi"/>
          <w:color w:val="000000" w:themeColor="text1"/>
          <w:sz w:val="20"/>
          <w:szCs w:val="20"/>
          <w:lang w:eastAsia="en-GB"/>
        </w:rPr>
        <w:t>, Kalantar JS, Weltman MD, Jones M, Powell N, Talley NJ.</w:t>
      </w:r>
    </w:p>
    <w:p w14:paraId="4E610507"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J Gastroenterol Hepatol. 2014 Mar;29(3):474-9. doi: 10.1111/jgh.12419.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24304041</w:t>
      </w:r>
    </w:p>
    <w:p w14:paraId="7B0AB4E8"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Advanced mucosal neoplasia of the anorectal junction: endoscopic resection technique and outcomes (with videos).</w:t>
      </w:r>
    </w:p>
    <w:p w14:paraId="64CB208A"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Holt BA, </w:t>
      </w:r>
      <w:r w:rsidRPr="001029FB">
        <w:rPr>
          <w:rFonts w:cstheme="minorHAnsi"/>
          <w:b/>
          <w:color w:val="000000" w:themeColor="text1"/>
          <w:sz w:val="20"/>
          <w:szCs w:val="20"/>
          <w:lang w:eastAsia="en-GB"/>
        </w:rPr>
        <w:t>Bassan MS</w:t>
      </w:r>
      <w:r w:rsidRPr="001029FB">
        <w:rPr>
          <w:rFonts w:cstheme="minorHAnsi"/>
          <w:color w:val="000000" w:themeColor="text1"/>
          <w:sz w:val="20"/>
          <w:szCs w:val="20"/>
          <w:lang w:eastAsia="en-GB"/>
        </w:rPr>
        <w:t>, Sexton A, Williams SJ, Bourke MJ.</w:t>
      </w:r>
    </w:p>
    <w:p w14:paraId="5FAC3C80"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Gastrointest Endosc. 2014 Jan;79(1):119-26. doi: 10.1016/j.gie.2013.07.003. </w:t>
      </w:r>
      <w:r w:rsidRPr="001029FB">
        <w:rPr>
          <w:rFonts w:eastAsia="Times New Roman" w:cstheme="minorHAnsi"/>
          <w:color w:val="000000" w:themeColor="text1"/>
          <w:sz w:val="20"/>
          <w:szCs w:val="20"/>
          <w:lang w:eastAsia="en-GB"/>
        </w:rPr>
        <w:t>PMID:</w:t>
      </w:r>
      <w:r w:rsidRPr="001029FB">
        <w:rPr>
          <w:rFonts w:cstheme="minorHAnsi"/>
          <w:color w:val="000000" w:themeColor="text1"/>
          <w:sz w:val="20"/>
          <w:szCs w:val="20"/>
          <w:lang w:eastAsia="en-GB"/>
        </w:rPr>
        <w:t xml:space="preserve"> </w:t>
      </w:r>
      <w:r w:rsidRPr="001029FB">
        <w:rPr>
          <w:rFonts w:eastAsia="Times New Roman" w:cstheme="minorHAnsi"/>
          <w:color w:val="000000" w:themeColor="text1"/>
          <w:sz w:val="20"/>
          <w:szCs w:val="20"/>
          <w:lang w:eastAsia="en-GB"/>
        </w:rPr>
        <w:t>23953401</w:t>
      </w:r>
    </w:p>
    <w:p w14:paraId="6D99E9B1" w14:textId="77777777" w:rsidR="00AE08BD" w:rsidRPr="001029FB" w:rsidRDefault="00AE08BD" w:rsidP="00AE08BD">
      <w:pPr>
        <w:pStyle w:val="ListParagraph"/>
        <w:numPr>
          <w:ilvl w:val="0"/>
          <w:numId w:val="1"/>
        </w:numPr>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The intrahepatic signalling niche of hedgehog is defined by primary cilia positive cells during chronic liver injury.</w:t>
      </w:r>
    </w:p>
    <w:p w14:paraId="44A71A6B"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Grzelak CA, Martelotto LG, Sigglekow ND, Patkunanathan B, Ajami K, Calabro SR, Dwyer BJ, Tirnitz-Parker JE, Watkins DN, Warner FJ, </w:t>
      </w:r>
      <w:r w:rsidRPr="001029FB">
        <w:rPr>
          <w:rFonts w:cstheme="minorHAnsi"/>
          <w:b/>
          <w:color w:val="000000" w:themeColor="text1"/>
          <w:sz w:val="20"/>
          <w:szCs w:val="20"/>
          <w:lang w:eastAsia="en-GB"/>
        </w:rPr>
        <w:t>Shackel NA</w:t>
      </w:r>
      <w:r w:rsidRPr="001029FB">
        <w:rPr>
          <w:rFonts w:cstheme="minorHAnsi"/>
          <w:color w:val="000000" w:themeColor="text1"/>
          <w:sz w:val="20"/>
          <w:szCs w:val="20"/>
          <w:lang w:eastAsia="en-GB"/>
        </w:rPr>
        <w:t>, McCaughan GW.</w:t>
      </w:r>
    </w:p>
    <w:p w14:paraId="59AD6318" w14:textId="77777777" w:rsidR="00AE08BD" w:rsidRPr="001029FB" w:rsidRDefault="00AE08BD" w:rsidP="00AE08BD">
      <w:pPr>
        <w:pStyle w:val="ListParagraph"/>
        <w:ind w:left="360"/>
        <w:jc w:val="both"/>
        <w:rPr>
          <w:rFonts w:cstheme="minorHAnsi"/>
          <w:color w:val="000000" w:themeColor="text1"/>
          <w:sz w:val="20"/>
          <w:szCs w:val="20"/>
          <w:lang w:eastAsia="en-GB"/>
        </w:rPr>
      </w:pPr>
      <w:r w:rsidRPr="001029FB">
        <w:rPr>
          <w:rFonts w:cstheme="minorHAnsi"/>
          <w:color w:val="000000" w:themeColor="text1"/>
          <w:sz w:val="20"/>
          <w:szCs w:val="20"/>
          <w:lang w:eastAsia="en-GB"/>
        </w:rPr>
        <w:t xml:space="preserve">J Hepatol. 2014 Jan;60(1):143-51. doi: 10.1016/j.jhep.2013.08.012. </w:t>
      </w:r>
      <w:r w:rsidRPr="001029FB">
        <w:rPr>
          <w:rFonts w:eastAsia="Times New Roman" w:cstheme="minorHAnsi"/>
          <w:color w:val="000000" w:themeColor="text1"/>
          <w:sz w:val="20"/>
          <w:szCs w:val="20"/>
          <w:lang w:eastAsia="en-GB"/>
        </w:rPr>
        <w:t>PMID: 23978713</w:t>
      </w:r>
    </w:p>
    <w:p w14:paraId="6BBF82F5" w14:textId="77777777" w:rsidR="00AE08BD" w:rsidRPr="001029FB" w:rsidRDefault="00AE08BD" w:rsidP="00AE08BD">
      <w:pPr>
        <w:pStyle w:val="ListParagraph"/>
        <w:jc w:val="both"/>
        <w:rPr>
          <w:rFonts w:eastAsia="Times New Roman" w:cstheme="minorHAnsi"/>
          <w:b/>
          <w:color w:val="000000" w:themeColor="text1"/>
          <w:sz w:val="22"/>
          <w:szCs w:val="22"/>
          <w:lang w:eastAsia="en-GB"/>
        </w:rPr>
      </w:pPr>
    </w:p>
    <w:p w14:paraId="2D0FD8C8" w14:textId="77777777" w:rsidR="00404144" w:rsidRPr="001029FB" w:rsidRDefault="00404144">
      <w:pPr>
        <w:rPr>
          <w:color w:val="000000" w:themeColor="text1"/>
        </w:rPr>
      </w:pPr>
    </w:p>
    <w:sectPr w:rsidR="00404144" w:rsidRPr="001029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BA09C" w14:textId="77777777" w:rsidR="0037751A" w:rsidRDefault="0037751A">
      <w:r>
        <w:separator/>
      </w:r>
    </w:p>
  </w:endnote>
  <w:endnote w:type="continuationSeparator" w:id="0">
    <w:p w14:paraId="45E9A8C5" w14:textId="77777777" w:rsidR="0037751A" w:rsidRDefault="0037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75094"/>
      <w:docPartObj>
        <w:docPartGallery w:val="Page Numbers (Bottom of Page)"/>
        <w:docPartUnique/>
      </w:docPartObj>
    </w:sdtPr>
    <w:sdtEndPr>
      <w:rPr>
        <w:noProof/>
      </w:rPr>
    </w:sdtEndPr>
    <w:sdtContent>
      <w:p w14:paraId="269C1685" w14:textId="77777777" w:rsidR="005C6868" w:rsidRDefault="005C6868">
        <w:pPr>
          <w:pStyle w:val="Footer"/>
          <w:jc w:val="right"/>
        </w:pPr>
        <w:r>
          <w:fldChar w:fldCharType="begin"/>
        </w:r>
        <w:r>
          <w:instrText xml:space="preserve"> PAGE   \* MERGEFORMAT </w:instrText>
        </w:r>
        <w:r>
          <w:fldChar w:fldCharType="separate"/>
        </w:r>
        <w:r w:rsidR="00CE413A">
          <w:rPr>
            <w:noProof/>
          </w:rPr>
          <w:t>1</w:t>
        </w:r>
        <w:r>
          <w:rPr>
            <w:noProof/>
          </w:rPr>
          <w:fldChar w:fldCharType="end"/>
        </w:r>
      </w:p>
    </w:sdtContent>
  </w:sdt>
  <w:p w14:paraId="4D18BCCA" w14:textId="77777777" w:rsidR="005C6868" w:rsidRDefault="005C6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1B7A8" w14:textId="77777777" w:rsidR="0037751A" w:rsidRDefault="0037751A">
      <w:r>
        <w:separator/>
      </w:r>
    </w:p>
  </w:footnote>
  <w:footnote w:type="continuationSeparator" w:id="0">
    <w:p w14:paraId="0C39D75C" w14:textId="77777777" w:rsidR="0037751A" w:rsidRDefault="00377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4567" w14:textId="00FA4E96" w:rsidR="003106C6" w:rsidRDefault="003106C6">
    <w:pPr>
      <w:pStyle w:val="Header"/>
    </w:pPr>
    <w:r>
      <w:rPr>
        <w:noProof/>
        <w:lang w:eastAsia="en-GB"/>
      </w:rPr>
      <w:drawing>
        <wp:anchor distT="0" distB="0" distL="114300" distR="114300" simplePos="0" relativeHeight="251661312" behindDoc="1" locked="0" layoutInCell="1" allowOverlap="1" wp14:anchorId="1DA5877E" wp14:editId="60191D94">
          <wp:simplePos x="0" y="0"/>
          <wp:positionH relativeFrom="column">
            <wp:posOffset>4397375</wp:posOffset>
          </wp:positionH>
          <wp:positionV relativeFrom="paragraph">
            <wp:posOffset>-218440</wp:posOffset>
          </wp:positionV>
          <wp:extent cx="1977390" cy="514350"/>
          <wp:effectExtent l="19050" t="0" r="3810" b="0"/>
          <wp:wrapThrough wrapText="bothSides">
            <wp:wrapPolygon edited="0">
              <wp:start x="-208" y="0"/>
              <wp:lineTo x="-208" y="20800"/>
              <wp:lineTo x="21642" y="20800"/>
              <wp:lineTo x="21642" y="0"/>
              <wp:lineTo x="-208" y="0"/>
            </wp:wrapPolygon>
          </wp:wrapThrough>
          <wp:docPr id="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srcRect/>
                  <a:stretch>
                    <a:fillRect/>
                  </a:stretch>
                </pic:blipFill>
                <pic:spPr bwMode="auto">
                  <a:xfrm>
                    <a:off x="0" y="0"/>
                    <a:ext cx="1977390" cy="5143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14:anchorId="0681840F" wp14:editId="296C53CF">
          <wp:simplePos x="0" y="0"/>
          <wp:positionH relativeFrom="column">
            <wp:posOffset>-520065</wp:posOffset>
          </wp:positionH>
          <wp:positionV relativeFrom="paragraph">
            <wp:posOffset>-218440</wp:posOffset>
          </wp:positionV>
          <wp:extent cx="448310" cy="533400"/>
          <wp:effectExtent l="19050" t="0" r="8890" b="0"/>
          <wp:wrapThrough wrapText="bothSides">
            <wp:wrapPolygon edited="0">
              <wp:start x="-918" y="0"/>
              <wp:lineTo x="-918" y="20829"/>
              <wp:lineTo x="22028" y="20829"/>
              <wp:lineTo x="22028" y="0"/>
              <wp:lineTo x="-918" y="0"/>
            </wp:wrapPolygon>
          </wp:wrapThrough>
          <wp:docPr id="7" name="Picture 7" descr="Liverpool_Hospital_Crest+words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_Hospital_Crest+words_stacked_RGB"/>
                  <pic:cNvPicPr>
                    <a:picLocks noChangeAspect="1" noChangeArrowheads="1"/>
                  </pic:cNvPicPr>
                </pic:nvPicPr>
                <pic:blipFill>
                  <a:blip r:embed="rId2"/>
                  <a:srcRect/>
                  <a:stretch>
                    <a:fillRect/>
                  </a:stretch>
                </pic:blipFill>
                <pic:spPr bwMode="auto">
                  <a:xfrm>
                    <a:off x="0" y="0"/>
                    <a:ext cx="44831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76F3D"/>
    <w:multiLevelType w:val="hybridMultilevel"/>
    <w:tmpl w:val="DB18B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F2AFA"/>
    <w:multiLevelType w:val="hybridMultilevel"/>
    <w:tmpl w:val="93A21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26E495F"/>
    <w:multiLevelType w:val="hybridMultilevel"/>
    <w:tmpl w:val="2F52DBC4"/>
    <w:lvl w:ilvl="0" w:tplc="65144F9A">
      <w:start w:val="1"/>
      <w:numFmt w:val="decimal"/>
      <w:lvlText w:val="%1."/>
      <w:lvlJc w:val="left"/>
      <w:pPr>
        <w:ind w:left="720" w:hanging="607"/>
      </w:pPr>
      <w:rPr>
        <w:rFonts w:hint="default"/>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F81EFE"/>
    <w:multiLevelType w:val="hybridMultilevel"/>
    <w:tmpl w:val="BFA83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BD"/>
    <w:rsid w:val="00010B39"/>
    <w:rsid w:val="0001280C"/>
    <w:rsid w:val="00015B96"/>
    <w:rsid w:val="00086E9F"/>
    <w:rsid w:val="000B445C"/>
    <w:rsid w:val="000F1847"/>
    <w:rsid w:val="001029FB"/>
    <w:rsid w:val="0012520B"/>
    <w:rsid w:val="00130E63"/>
    <w:rsid w:val="00176F16"/>
    <w:rsid w:val="001C03A5"/>
    <w:rsid w:val="001C1F9E"/>
    <w:rsid w:val="00213AE4"/>
    <w:rsid w:val="00224277"/>
    <w:rsid w:val="0027417C"/>
    <w:rsid w:val="002A1C88"/>
    <w:rsid w:val="002B6928"/>
    <w:rsid w:val="002C5A0B"/>
    <w:rsid w:val="002E63D8"/>
    <w:rsid w:val="003106C6"/>
    <w:rsid w:val="0037751A"/>
    <w:rsid w:val="003C7537"/>
    <w:rsid w:val="00404144"/>
    <w:rsid w:val="004377B3"/>
    <w:rsid w:val="004810E5"/>
    <w:rsid w:val="004B4463"/>
    <w:rsid w:val="004F1853"/>
    <w:rsid w:val="00514D6A"/>
    <w:rsid w:val="0052405C"/>
    <w:rsid w:val="005304EA"/>
    <w:rsid w:val="00550026"/>
    <w:rsid w:val="005C6868"/>
    <w:rsid w:val="005E571C"/>
    <w:rsid w:val="005E6857"/>
    <w:rsid w:val="005F27A4"/>
    <w:rsid w:val="00646E63"/>
    <w:rsid w:val="0066319B"/>
    <w:rsid w:val="006657D1"/>
    <w:rsid w:val="006706F0"/>
    <w:rsid w:val="00672807"/>
    <w:rsid w:val="00681F43"/>
    <w:rsid w:val="006B0644"/>
    <w:rsid w:val="006B5C57"/>
    <w:rsid w:val="00705558"/>
    <w:rsid w:val="007148CB"/>
    <w:rsid w:val="0076161F"/>
    <w:rsid w:val="00772A6C"/>
    <w:rsid w:val="007754C8"/>
    <w:rsid w:val="007B1739"/>
    <w:rsid w:val="007B3647"/>
    <w:rsid w:val="00802A19"/>
    <w:rsid w:val="008111AF"/>
    <w:rsid w:val="0081696E"/>
    <w:rsid w:val="00820F42"/>
    <w:rsid w:val="00831DF1"/>
    <w:rsid w:val="008730F9"/>
    <w:rsid w:val="008736F2"/>
    <w:rsid w:val="00873F09"/>
    <w:rsid w:val="008B7179"/>
    <w:rsid w:val="00923BD0"/>
    <w:rsid w:val="009311B6"/>
    <w:rsid w:val="009470F1"/>
    <w:rsid w:val="00953F5C"/>
    <w:rsid w:val="009C2B3C"/>
    <w:rsid w:val="00A05BB3"/>
    <w:rsid w:val="00A25C4E"/>
    <w:rsid w:val="00A5193F"/>
    <w:rsid w:val="00A7054F"/>
    <w:rsid w:val="00A8157C"/>
    <w:rsid w:val="00AA3A5A"/>
    <w:rsid w:val="00AD5E91"/>
    <w:rsid w:val="00AE08BD"/>
    <w:rsid w:val="00AF772D"/>
    <w:rsid w:val="00B07270"/>
    <w:rsid w:val="00B17C91"/>
    <w:rsid w:val="00B245E3"/>
    <w:rsid w:val="00B30A76"/>
    <w:rsid w:val="00B404A6"/>
    <w:rsid w:val="00B92922"/>
    <w:rsid w:val="00BA5594"/>
    <w:rsid w:val="00BE3E95"/>
    <w:rsid w:val="00BE3F00"/>
    <w:rsid w:val="00BF7A2D"/>
    <w:rsid w:val="00C16B55"/>
    <w:rsid w:val="00C223A7"/>
    <w:rsid w:val="00C32AC3"/>
    <w:rsid w:val="00C55DE0"/>
    <w:rsid w:val="00CE2F1D"/>
    <w:rsid w:val="00CE413A"/>
    <w:rsid w:val="00D01E7A"/>
    <w:rsid w:val="00D24EB9"/>
    <w:rsid w:val="00D50E4F"/>
    <w:rsid w:val="00D8416F"/>
    <w:rsid w:val="00D92E2E"/>
    <w:rsid w:val="00DA78C0"/>
    <w:rsid w:val="00DB01B2"/>
    <w:rsid w:val="00DD3E8E"/>
    <w:rsid w:val="00E31F80"/>
    <w:rsid w:val="00E53260"/>
    <w:rsid w:val="00E54C9F"/>
    <w:rsid w:val="00ED2F5B"/>
    <w:rsid w:val="00ED5DC3"/>
    <w:rsid w:val="00EF3DFB"/>
    <w:rsid w:val="00F20800"/>
    <w:rsid w:val="00F26BF2"/>
    <w:rsid w:val="00F36D21"/>
    <w:rsid w:val="00F629FB"/>
    <w:rsid w:val="00F81DB6"/>
    <w:rsid w:val="00FC3117"/>
    <w:rsid w:val="00FD4B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BF044D"/>
  <w14:defaultImageDpi w14:val="32767"/>
  <w15:chartTrackingRefBased/>
  <w15:docId w15:val="{EBBCD134-19FA-1B41-9BEC-BF6E9A78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3E8E"/>
    <w:rPr>
      <w:rFonts w:ascii="Times New Roman" w:hAnsi="Times New Roman" w:cs="Times New Roman"/>
      <w:sz w:val="18"/>
      <w:szCs w:val="18"/>
    </w:rPr>
  </w:style>
  <w:style w:type="paragraph" w:styleId="ListParagraph">
    <w:name w:val="List Paragraph"/>
    <w:basedOn w:val="Normal"/>
    <w:uiPriority w:val="34"/>
    <w:qFormat/>
    <w:rsid w:val="00AE08BD"/>
    <w:pPr>
      <w:ind w:left="720"/>
      <w:contextualSpacing/>
    </w:pPr>
  </w:style>
  <w:style w:type="paragraph" w:styleId="Title">
    <w:name w:val="Title"/>
    <w:aliases w:val="title"/>
    <w:basedOn w:val="Normal"/>
    <w:link w:val="TitleChar"/>
    <w:qFormat/>
    <w:rsid w:val="00AE08BD"/>
    <w:pPr>
      <w:spacing w:before="100" w:beforeAutospacing="1" w:after="100" w:afterAutospacing="1"/>
    </w:pPr>
    <w:rPr>
      <w:rFonts w:ascii="Times New Roman" w:hAnsi="Times New Roman" w:cs="Times New Roman"/>
      <w:lang w:eastAsia="en-GB"/>
    </w:rPr>
  </w:style>
  <w:style w:type="character" w:customStyle="1" w:styleId="TitleChar">
    <w:name w:val="Title Char"/>
    <w:aliases w:val="title Char"/>
    <w:basedOn w:val="DefaultParagraphFont"/>
    <w:link w:val="Title"/>
    <w:rsid w:val="00AE08BD"/>
    <w:rPr>
      <w:rFonts w:ascii="Times New Roman" w:hAnsi="Times New Roman" w:cs="Times New Roman"/>
      <w:lang w:eastAsia="en-GB"/>
    </w:rPr>
  </w:style>
  <w:style w:type="paragraph" w:customStyle="1" w:styleId="desc">
    <w:name w:val="desc"/>
    <w:basedOn w:val="Normal"/>
    <w:rsid w:val="00AE08BD"/>
    <w:pPr>
      <w:spacing w:before="100" w:beforeAutospacing="1" w:after="100" w:afterAutospacing="1"/>
    </w:pPr>
    <w:rPr>
      <w:rFonts w:ascii="Times New Roman" w:hAnsi="Times New Roman" w:cs="Times New Roman"/>
      <w:lang w:eastAsia="en-GB"/>
    </w:rPr>
  </w:style>
  <w:style w:type="character" w:customStyle="1" w:styleId="jrnl">
    <w:name w:val="jrnl"/>
    <w:basedOn w:val="DefaultParagraphFont"/>
    <w:rsid w:val="00AE08BD"/>
  </w:style>
  <w:style w:type="paragraph" w:styleId="Footer">
    <w:name w:val="footer"/>
    <w:basedOn w:val="Normal"/>
    <w:link w:val="FooterChar"/>
    <w:uiPriority w:val="99"/>
    <w:unhideWhenUsed/>
    <w:rsid w:val="00AE08BD"/>
    <w:pPr>
      <w:tabs>
        <w:tab w:val="center" w:pos="4513"/>
        <w:tab w:val="right" w:pos="9026"/>
      </w:tabs>
    </w:pPr>
  </w:style>
  <w:style w:type="character" w:customStyle="1" w:styleId="FooterChar">
    <w:name w:val="Footer Char"/>
    <w:basedOn w:val="DefaultParagraphFont"/>
    <w:link w:val="Footer"/>
    <w:uiPriority w:val="99"/>
    <w:rsid w:val="00AE08BD"/>
  </w:style>
  <w:style w:type="paragraph" w:customStyle="1" w:styleId="details">
    <w:name w:val="details"/>
    <w:basedOn w:val="Normal"/>
    <w:rsid w:val="007B173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B1739"/>
  </w:style>
  <w:style w:type="paragraph" w:customStyle="1" w:styleId="Title2">
    <w:name w:val="Title2"/>
    <w:basedOn w:val="Normal"/>
    <w:rsid w:val="00AA3A5A"/>
    <w:pPr>
      <w:spacing w:before="100" w:beforeAutospacing="1" w:after="100" w:afterAutospacing="1"/>
    </w:pPr>
    <w:rPr>
      <w:rFonts w:ascii="Times New Roman" w:eastAsia="Times New Roman" w:hAnsi="Times New Roman" w:cs="Times New Roman"/>
      <w:lang w:val="en-AU"/>
    </w:rPr>
  </w:style>
  <w:style w:type="paragraph" w:customStyle="1" w:styleId="Title1">
    <w:name w:val="Title1"/>
    <w:basedOn w:val="Normal"/>
    <w:rsid w:val="000B445C"/>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3106C6"/>
    <w:pPr>
      <w:tabs>
        <w:tab w:val="center" w:pos="4513"/>
        <w:tab w:val="right" w:pos="9026"/>
      </w:tabs>
    </w:pPr>
  </w:style>
  <w:style w:type="character" w:customStyle="1" w:styleId="HeaderChar">
    <w:name w:val="Header Char"/>
    <w:basedOn w:val="DefaultParagraphFont"/>
    <w:link w:val="Header"/>
    <w:uiPriority w:val="99"/>
    <w:rsid w:val="0031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24666381"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Gan</cp:lastModifiedBy>
  <cp:revision>3</cp:revision>
  <dcterms:created xsi:type="dcterms:W3CDTF">2018-12-05T03:48:00Z</dcterms:created>
  <dcterms:modified xsi:type="dcterms:W3CDTF">2018-12-05T03:48:00Z</dcterms:modified>
</cp:coreProperties>
</file>